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Default="00832CF4" w:rsidP="00832CF4">
      <w:pPr>
        <w:jc w:val="both"/>
        <w:rPr>
          <w:b/>
          <w:bCs/>
          <w:sz w:val="28"/>
          <w:szCs w:val="28"/>
        </w:rPr>
      </w:pPr>
    </w:p>
    <w:p w:rsidR="00832CF4" w:rsidRPr="008C41E1" w:rsidRDefault="00832CF4" w:rsidP="00832CF4">
      <w:pPr>
        <w:jc w:val="center"/>
        <w:rPr>
          <w:b/>
          <w:bCs/>
          <w:sz w:val="28"/>
          <w:szCs w:val="28"/>
        </w:rPr>
      </w:pPr>
      <w:r w:rsidRPr="008C41E1">
        <w:rPr>
          <w:b/>
          <w:bCs/>
          <w:sz w:val="28"/>
          <w:szCs w:val="28"/>
        </w:rPr>
        <w:t>О внесении изменений в Порядок привлечения перевозчиков к обслуживанию межмуниципальных (пригородных и междугородных) маршрутов</w:t>
      </w:r>
      <w:r>
        <w:rPr>
          <w:b/>
          <w:bCs/>
          <w:sz w:val="28"/>
          <w:szCs w:val="28"/>
        </w:rPr>
        <w:t xml:space="preserve"> </w:t>
      </w:r>
      <w:r w:rsidRPr="008C41E1">
        <w:rPr>
          <w:b/>
          <w:bCs/>
          <w:sz w:val="28"/>
          <w:szCs w:val="28"/>
        </w:rPr>
        <w:t>регулярных пассажирских перевозок автомобильным транспортом, утвержденный  постановлением Правительства</w:t>
      </w:r>
    </w:p>
    <w:p w:rsidR="00832CF4" w:rsidRPr="008C41E1" w:rsidRDefault="00832CF4" w:rsidP="00832CF4">
      <w:pPr>
        <w:jc w:val="center"/>
        <w:rPr>
          <w:sz w:val="28"/>
          <w:szCs w:val="28"/>
        </w:rPr>
      </w:pPr>
      <w:r w:rsidRPr="008C41E1">
        <w:rPr>
          <w:b/>
          <w:bCs/>
          <w:sz w:val="28"/>
          <w:szCs w:val="28"/>
        </w:rPr>
        <w:t>Свердловской области  от 23.08.2011 № 1117-ПП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В соответствии со статьей 101 Областного закона от 10 марта                   1999 года № 4-ОЗ «О правовых актах в Свердловской области» Правительство Свердловской области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b/>
          <w:sz w:val="28"/>
          <w:szCs w:val="28"/>
        </w:rPr>
        <w:t>ПОСТАНОВЛЯЕТ</w:t>
      </w:r>
      <w:r w:rsidRPr="008C41E1">
        <w:rPr>
          <w:sz w:val="28"/>
          <w:szCs w:val="28"/>
        </w:rPr>
        <w:t>: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1. </w:t>
      </w:r>
      <w:proofErr w:type="gramStart"/>
      <w:r w:rsidRPr="008C41E1">
        <w:rPr>
          <w:sz w:val="28"/>
          <w:szCs w:val="28"/>
        </w:rPr>
        <w:t>Внести в Порядок привлечения перевозчиков к обслуживанию межмуниципальных (пригородных и междугородных) маршрутов регулярных пассажирских  перевозок автомобильным транспортом, утвержденный</w:t>
      </w:r>
      <w:r w:rsidRPr="008C41E1">
        <w:rPr>
          <w:bCs/>
          <w:sz w:val="28"/>
          <w:szCs w:val="28"/>
        </w:rPr>
        <w:t xml:space="preserve"> постановлением  Правительства Свердловской области  от </w:t>
      </w:r>
      <w:smartTag w:uri="urn:schemas-microsoft-com:office:smarttags" w:element="date">
        <w:smartTagPr>
          <w:attr w:name="ls" w:val="trans"/>
          <w:attr w:name="Month" w:val="08"/>
          <w:attr w:name="Day" w:val="23"/>
          <w:attr w:name="Year" w:val="2011"/>
        </w:smartTagPr>
        <w:r w:rsidRPr="008C41E1">
          <w:rPr>
            <w:bCs/>
            <w:sz w:val="28"/>
            <w:szCs w:val="28"/>
          </w:rPr>
          <w:t>23.08.2011</w:t>
        </w:r>
      </w:smartTag>
      <w:r w:rsidRPr="008C41E1">
        <w:rPr>
          <w:bCs/>
          <w:sz w:val="28"/>
          <w:szCs w:val="28"/>
        </w:rPr>
        <w:t xml:space="preserve">                   № 1117-ПП «О мерах по реализации  Закона Свердловской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0"/>
        </w:smartTagPr>
        <w:r w:rsidRPr="008C41E1">
          <w:rPr>
            <w:bCs/>
            <w:sz w:val="28"/>
            <w:szCs w:val="28"/>
          </w:rPr>
          <w:t>27 декабря 2010 года</w:t>
        </w:r>
      </w:smartTag>
      <w:r w:rsidRPr="008C41E1">
        <w:rPr>
          <w:bCs/>
          <w:sz w:val="28"/>
          <w:szCs w:val="28"/>
        </w:rPr>
        <w:t xml:space="preserve"> № 127-ОЗ «Об организации транспортного обслуживания населения Свердловской области»</w:t>
      </w:r>
      <w:r w:rsidRPr="008C41E1">
        <w:rPr>
          <w:sz w:val="28"/>
          <w:szCs w:val="28"/>
        </w:rPr>
        <w:t xml:space="preserve"> </w:t>
      </w:r>
      <w:r w:rsidRPr="008C41E1">
        <w:rPr>
          <w:bCs/>
          <w:sz w:val="28"/>
          <w:szCs w:val="28"/>
        </w:rPr>
        <w:t>(«Областная газета», 2011, 31 августа, № 317-318) с изменениями, внесенными  постановлением Правительства  Свердловской области от 21.12.2012</w:t>
      </w:r>
      <w:proofErr w:type="gramEnd"/>
      <w:r w:rsidRPr="008C41E1">
        <w:rPr>
          <w:bCs/>
          <w:sz w:val="28"/>
          <w:szCs w:val="28"/>
        </w:rPr>
        <w:t xml:space="preserve">  № 1501-ПП, следующие</w:t>
      </w:r>
      <w:r w:rsidRPr="008C41E1">
        <w:rPr>
          <w:sz w:val="28"/>
          <w:szCs w:val="28"/>
        </w:rPr>
        <w:t xml:space="preserve"> изменения: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1) главы 2, 3 и 4 изложить в следующей редакции: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«Глава 2. Организация проведения конкурса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         5. Уполномоченный орган, приняв решение о проведении конкурса:</w:t>
      </w:r>
    </w:p>
    <w:p w:rsidR="00832CF4" w:rsidRPr="008C41E1" w:rsidRDefault="00832CF4" w:rsidP="00832CF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образует комиссию по проведению конкурса (далее – комиссия) и утверждает ее состав приказом руководителя уполномоченного органа;</w:t>
      </w:r>
    </w:p>
    <w:p w:rsidR="00832CF4" w:rsidRPr="008C41E1" w:rsidRDefault="00832CF4" w:rsidP="00832CF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формирует лоты по открытым маршрутам и (или) расписаниям движения    открытых     маршрутов.   Под лотом понимается маршрут,  группа маршрутов или группа расписаний по маршруту, </w:t>
      </w:r>
      <w:proofErr w:type="gramStart"/>
      <w:r w:rsidRPr="008C41E1">
        <w:rPr>
          <w:sz w:val="28"/>
          <w:szCs w:val="28"/>
        </w:rPr>
        <w:t>связанные</w:t>
      </w:r>
      <w:proofErr w:type="gramEnd"/>
      <w:r w:rsidRPr="008C41E1">
        <w:rPr>
          <w:sz w:val="28"/>
          <w:szCs w:val="28"/>
        </w:rPr>
        <w:t xml:space="preserve"> единой отправной точкой и (или) пролегающие в одном направлении;</w:t>
      </w:r>
    </w:p>
    <w:p w:rsidR="00832CF4" w:rsidRPr="008C41E1" w:rsidRDefault="00832CF4" w:rsidP="00832CF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разрабатывает и утверждает приказом руководителя уполномоченного органа конкурсную документацию и организует ее публикацию на своем официальном сайте;</w:t>
      </w:r>
    </w:p>
    <w:p w:rsidR="00832CF4" w:rsidRPr="008C41E1" w:rsidRDefault="00832CF4" w:rsidP="00832CF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принимает заявления от претендентов на участие в конкурсе и ведет их учет.</w:t>
      </w:r>
    </w:p>
    <w:p w:rsidR="00832CF4" w:rsidRPr="008C41E1" w:rsidRDefault="00832CF4" w:rsidP="00832CF4">
      <w:pPr>
        <w:ind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lastRenderedPageBreak/>
        <w:t>6. Конкурсная документация должна быть опубликована на официальном сайте уполномоченного органа не менее чем за 30 дней до объявленной в информационном сообщении даты проведения  конкурса.</w:t>
      </w:r>
    </w:p>
    <w:p w:rsidR="00832CF4" w:rsidRPr="008C41E1" w:rsidRDefault="00832CF4" w:rsidP="00832CF4">
      <w:pPr>
        <w:ind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7. Конкурсная документация должна в себя включать: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информацию о законодательном регулировании конкурса;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информацию об уполномоченном органе;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наименование, основные характеристики и сведения о предмете конкурса;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квалификационные и иные требования, предъявляемые к претенденту (за исключением лицензионных требований);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разъяснение положений конкурсной документации;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порядок внесения изменений в конкурсную документацию;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порядок отказа от проведения конкурса;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форму заявления на участие в конкурсе;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перечень документов, обязательных к подаче претендентами для участия в конкурсе, и требования к их оформлению;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место, даты  начала и окончания срока подачи заявлений на участие в конкурсе;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порядок подачи заявлений на участие в конкурсе;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порядок и срок отзыва заявлений  на участие в конкурсе, порядок внесения изменений в такие заявления;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порядок вскрытия конвертов;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порядок рассмотрения заявлений на участие в конкурсе;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порядок проведения конкурса и порядок определения победителя конкурса;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порядок заключения договора;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информационное сообщение о проведении конкурса;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технические условия конкурса;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проект договора на  обслуживание межмуниципальных   маршрутов регулярных пассажирских перевозок автомобильным транспортом;</w:t>
      </w:r>
    </w:p>
    <w:p w:rsidR="00832CF4" w:rsidRPr="008C41E1" w:rsidRDefault="00832CF4" w:rsidP="00832CF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>образцы форм и документов для заполнения претендентами.</w:t>
      </w:r>
    </w:p>
    <w:p w:rsidR="00832CF4" w:rsidRPr="008C41E1" w:rsidRDefault="00832CF4" w:rsidP="00832CF4">
      <w:pPr>
        <w:ind w:firstLine="709"/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8. Уполномоченный орган  объявляет конкурс </w:t>
      </w:r>
      <w:proofErr w:type="gramStart"/>
      <w:r w:rsidRPr="008C41E1">
        <w:rPr>
          <w:sz w:val="28"/>
          <w:szCs w:val="28"/>
        </w:rPr>
        <w:t>при</w:t>
      </w:r>
      <w:proofErr w:type="gramEnd"/>
      <w:r w:rsidRPr="008C41E1">
        <w:rPr>
          <w:sz w:val="28"/>
          <w:szCs w:val="28"/>
        </w:rPr>
        <w:t>:</w:t>
      </w:r>
    </w:p>
    <w:p w:rsidR="00832CF4" w:rsidRPr="008C41E1" w:rsidRDefault="00832CF4" w:rsidP="00832CF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C41E1">
        <w:rPr>
          <w:sz w:val="28"/>
          <w:szCs w:val="28"/>
        </w:rPr>
        <w:t>прекращении действия договора (договоров) об обслуживании межмуниципальных (пригородных и междугородных) маршрутов регулярных пассажирских перевозок автомобильным транспортом  на заявленном маршруте по расписанию движения автобусов, заключенного (заключенных) ранее между  уполномоченным органом и субъектом транспортной инфраструктуры;</w:t>
      </w:r>
      <w:proofErr w:type="gramEnd"/>
    </w:p>
    <w:p w:rsidR="00832CF4" w:rsidRPr="008C41E1" w:rsidRDefault="00832CF4" w:rsidP="00832CF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C41E1">
        <w:rPr>
          <w:sz w:val="28"/>
          <w:szCs w:val="28"/>
        </w:rPr>
        <w:t>открытии</w:t>
      </w:r>
      <w:proofErr w:type="gramEnd"/>
      <w:r w:rsidRPr="008C41E1">
        <w:rPr>
          <w:sz w:val="28"/>
          <w:szCs w:val="28"/>
        </w:rPr>
        <w:t xml:space="preserve"> новых  маршрутов;</w:t>
      </w:r>
    </w:p>
    <w:p w:rsidR="00832CF4" w:rsidRPr="008C41E1" w:rsidRDefault="00832CF4" w:rsidP="00832CF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C41E1">
        <w:rPr>
          <w:sz w:val="28"/>
          <w:szCs w:val="28"/>
        </w:rPr>
        <w:t>принятии</w:t>
      </w:r>
      <w:proofErr w:type="gramEnd"/>
      <w:r w:rsidRPr="008C41E1">
        <w:rPr>
          <w:sz w:val="28"/>
          <w:szCs w:val="28"/>
        </w:rPr>
        <w:t xml:space="preserve"> решения о необходимости введения дополнительного расписания по утвержденному маршруту;</w:t>
      </w:r>
    </w:p>
    <w:p w:rsidR="00832CF4" w:rsidRPr="008C41E1" w:rsidRDefault="00832CF4" w:rsidP="00832CF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C41E1">
        <w:rPr>
          <w:sz w:val="28"/>
          <w:szCs w:val="28"/>
        </w:rPr>
        <w:t>признании</w:t>
      </w:r>
      <w:proofErr w:type="gramEnd"/>
      <w:r w:rsidRPr="008C41E1">
        <w:rPr>
          <w:sz w:val="28"/>
          <w:szCs w:val="28"/>
        </w:rPr>
        <w:t xml:space="preserve"> конкурса не состоявшимся в связи с отсутствием поданных заявок по лоту, на этом основании конкурс повторно объявляется не более одного раза, в срок до 180 дней со дня признания первого конкурса не состоявшимся.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Глава 3. Условия участия в конкурсе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lastRenderedPageBreak/>
        <w:t>9. Пакет документов на участие в конкурсе должен содержать следующие документы и сведения: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1) опись документов;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proofErr w:type="gramStart"/>
      <w:r w:rsidRPr="008C41E1">
        <w:rPr>
          <w:sz w:val="28"/>
          <w:szCs w:val="28"/>
        </w:rPr>
        <w:t>2) заявление на участие в конкурсе;</w:t>
      </w:r>
      <w:proofErr w:type="gramEnd"/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3) предложение о качестве работ (услуг)  и иные предложения об условиях исполнения договора;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4)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которая получена не ранее чем за шесть месяцев до даты размещения информационного сообщения о проведении конкурса;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5)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которая получена не ранее чем за шесть месяцев до даты размещения информационного сообщения о проведении конкурса;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6)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7)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 если от имени претендента действует иное лицо, к заявлению на участие в конкурсе прилагается  доверенность на осуществление действий от имени претендента, заверенная печатью претендента и подписанная руководителем претендента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руководителем, к заявлению на участие в конкурсе прилагается  также документ, подтверждающий полномочия такого лица;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8) копии учредительных документов претендента, заверенные печатью претендента и подписанные руководителем претендента или уполномоченным этим руководителем лицом, либо нотариально заверенные копии таких документов (для юридических лиц);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9) указание на лот, в соответствии с которым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средств)</w:t>
      </w:r>
      <w:proofErr w:type="gramStart"/>
      <w:r w:rsidRPr="008C41E1">
        <w:rPr>
          <w:sz w:val="28"/>
          <w:szCs w:val="28"/>
        </w:rPr>
        <w:t xml:space="preserve"> ;</w:t>
      </w:r>
      <w:proofErr w:type="gramEnd"/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10) копию лицензии на перевозки пассажиров автомобильным транспортом, оборудованным для перевозок более 8 человек;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11) копию уведомления Федерального дорожного агентства о присвоении категории транспортной безопасности транспортным средствам претендента, заявленным для участия в конкурсе (при наличии);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lastRenderedPageBreak/>
        <w:t xml:space="preserve">12) перечень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с использованием которых предполагается осуществлять пассажирские перевозки на маршрутах), а также перечень резервных транспортных средств (с указанием 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если таковые имеются). Включаемые в указанный перечень транспортные средства не должны использоваться в качестве основных и (или) резервных транспортных средств на маршрутах единой сети маршрутов регулярных пассажирских перевозок на территории Свердловской области. </w:t>
      </w:r>
      <w:proofErr w:type="gramStart"/>
      <w:r w:rsidRPr="008C41E1">
        <w:rPr>
          <w:sz w:val="28"/>
          <w:szCs w:val="28"/>
        </w:rPr>
        <w:t>Если конкурс состоит из нескольких лотов, претендент имеет право заявить транспортное средство только на один из лотов;</w:t>
      </w:r>
      <w:proofErr w:type="gramEnd"/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13) копию уведомления Федерального дорожного агентства о присвоении категории транспортной безопасности объекту транспортной инфраструктуры, на котором происходит хранение транспортного средства (при наличии);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14) сведения о дорожно-транспортных происшествиях, допущенных претендентом (работниками претендента) за последний год, предшествующий дате проведения конкурса, согласно </w:t>
      </w:r>
      <w:hyperlink r:id="rId5" w:history="1">
        <w:r w:rsidRPr="008C41E1">
          <w:rPr>
            <w:rStyle w:val="a3"/>
            <w:sz w:val="28"/>
            <w:szCs w:val="28"/>
          </w:rPr>
          <w:t>постановлению</w:t>
        </w:r>
      </w:hyperlink>
      <w:r w:rsidRPr="008C41E1">
        <w:rPr>
          <w:sz w:val="28"/>
          <w:szCs w:val="28"/>
        </w:rPr>
        <w:t xml:space="preserve"> Правительства Российской Федерации от 29.06.1995  № 647 «Об утверждении Правил учета дорожно-транспортных происшествий» по форме, утвержденной  </w:t>
      </w:r>
      <w:hyperlink r:id="rId6" w:history="1">
        <w:r w:rsidRPr="008C41E1">
          <w:rPr>
            <w:rStyle w:val="a3"/>
            <w:sz w:val="28"/>
            <w:szCs w:val="28"/>
          </w:rPr>
          <w:t>приказ</w:t>
        </w:r>
      </w:hyperlink>
      <w:r w:rsidRPr="008C41E1">
        <w:rPr>
          <w:sz w:val="28"/>
          <w:szCs w:val="28"/>
        </w:rPr>
        <w:t>ом Министерства транспорта Российской Федерации от 02.04.1996 № 22;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15) при наличии копию документа, подтверждающего экипировку транспортного средства претендента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счет-фактура, одобрение типа транспортного средства), заверенную руководителем юридического лица, индивидуальным предпринимателем;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16) копии </w:t>
      </w:r>
      <w:proofErr w:type="gramStart"/>
      <w:r w:rsidRPr="008C41E1">
        <w:rPr>
          <w:sz w:val="28"/>
          <w:szCs w:val="28"/>
        </w:rPr>
        <w:t>свидетельств подтверждения оснащения транспортных средств претендента</w:t>
      </w:r>
      <w:proofErr w:type="gramEnd"/>
      <w:r w:rsidRPr="008C41E1">
        <w:rPr>
          <w:sz w:val="28"/>
          <w:szCs w:val="28"/>
        </w:rPr>
        <w:t xml:space="preserve"> </w:t>
      </w:r>
      <w:proofErr w:type="spellStart"/>
      <w:r w:rsidRPr="008C41E1">
        <w:rPr>
          <w:sz w:val="28"/>
          <w:szCs w:val="28"/>
        </w:rPr>
        <w:t>телематическим</w:t>
      </w:r>
      <w:proofErr w:type="spellEnd"/>
      <w:r w:rsidRPr="008C41E1">
        <w:rPr>
          <w:sz w:val="28"/>
          <w:szCs w:val="28"/>
        </w:rPr>
        <w:t xml:space="preserve"> терминалом.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Глава 4. Порядок принятия решения о допуске к участию в конкурсе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10. Комиссия в течение 25 календарных дней с момента окончания срока приема конкурсных заявок изучает представленные документы и принимает одно из следующих решений: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1) допустить претендента к участию в конкурсе на право осуществления пассажирских перевозок по заявленному лоту;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2) отказать претенденту в допуске к участию в конкурсе на право осуществления пассажирских перевозок на заявленном маршруте.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11. Список претендентов, допущенных к участию в конкурсе, размещается на сайте уполномоченного органа в трехдневный срок с момента принятия решения. Уполномоченный орган доводит до претендента информацию о допуске или об отказе в допуске к участию в конкурсе, в течение пяти рабочих дней.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12. Основаниями для отказа в допуске к участию в конкурсе являются: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1) представление документов позже срока, установленного в информационном сообщении о проведении конкурса;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lastRenderedPageBreak/>
        <w:t>2) представление неполного пакета документов;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3) наличие в документах, представленных претендентом, недостоверной информации;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4) несоответствие претендента на участие в конкурсе требованиям и критериям, установленным конкурсной документацией; 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5) включение претендентом в перечень транспортных сре</w:t>
      </w:r>
      <w:proofErr w:type="gramStart"/>
      <w:r w:rsidRPr="008C41E1">
        <w:rPr>
          <w:sz w:val="28"/>
          <w:szCs w:val="28"/>
        </w:rPr>
        <w:t>дств тр</w:t>
      </w:r>
      <w:proofErr w:type="gramEnd"/>
      <w:r w:rsidRPr="008C41E1">
        <w:rPr>
          <w:sz w:val="28"/>
          <w:szCs w:val="28"/>
        </w:rPr>
        <w:t>анспортных средств, которые используются в качестве основных и (или) резервных транспортных средств на маршрутах единой сети маршрутов регулярных пассажирских перевозок на территории Свердловской области;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6) включение претендентом в перечень транспортных средств одного и того же транспортного средства по двум и более лотам в рамках одного конкурса.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7) несоответствие пакета документов, приложенного к заявлению, предоставленным претендентом на участие в конкурсе,   требованиям и критериям, установленным конкурсной документацией;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8) несоответствие предложения об условиях исполнения договора, предоставленного претендентом на участие в конкурсе, требованиям и критериям, установленным конкурсной документацией.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13. Решение об отказе в допуске к участию в конкурсе может быть обжаловано претендентом в порядке, установленном законодательством Российской Федерации</w:t>
      </w:r>
      <w:proofErr w:type="gramStart"/>
      <w:r w:rsidRPr="008C41E1">
        <w:rPr>
          <w:sz w:val="28"/>
          <w:szCs w:val="28"/>
        </w:rPr>
        <w:t xml:space="preserve">.»; 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proofErr w:type="gramEnd"/>
      <w:r w:rsidRPr="008C41E1">
        <w:rPr>
          <w:sz w:val="28"/>
          <w:szCs w:val="28"/>
        </w:rPr>
        <w:t>2) строки 8, 9, 10 пункта 25 изложить в следующей редакции: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1014"/>
        <w:gridCol w:w="6924"/>
        <w:gridCol w:w="850"/>
        <w:gridCol w:w="567"/>
      </w:tblGrid>
      <w:tr w:rsidR="00832CF4" w:rsidRPr="008C41E1" w:rsidTr="0015525A">
        <w:trPr>
          <w:trHeight w:val="714"/>
        </w:trPr>
        <w:tc>
          <w:tcPr>
            <w:tcW w:w="426" w:type="dxa"/>
            <w:tcBorders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 xml:space="preserve">Класс </w:t>
            </w:r>
            <w:proofErr w:type="spellStart"/>
            <w:r w:rsidRPr="008C41E1">
              <w:rPr>
                <w:bCs/>
                <w:sz w:val="28"/>
                <w:szCs w:val="28"/>
              </w:rPr>
              <w:t>экологичности</w:t>
            </w:r>
            <w:proofErr w:type="spellEnd"/>
            <w:r w:rsidRPr="008C41E1">
              <w:rPr>
                <w:bCs/>
                <w:sz w:val="28"/>
                <w:szCs w:val="28"/>
              </w:rPr>
              <w:t xml:space="preserve"> транспортного средства в соответствии с данными паспорта транспортного средства (за каждое транспортное средство в соответствии с заявкой по лоту)</w:t>
            </w:r>
            <w:r w:rsidRPr="008C41E1">
              <w:rPr>
                <w:sz w:val="28"/>
                <w:szCs w:val="28"/>
              </w:rPr>
              <w:t xml:space="preserve"> </w:t>
            </w:r>
            <w:r w:rsidRPr="008C41E1">
              <w:rPr>
                <w:bCs/>
                <w:sz w:val="28"/>
                <w:szCs w:val="28"/>
              </w:rPr>
              <w:t xml:space="preserve">(пункты </w:t>
            </w:r>
            <w:r w:rsidRPr="008C41E1">
              <w:rPr>
                <w:bCs/>
                <w:sz w:val="28"/>
                <w:szCs w:val="28"/>
              </w:rPr>
              <w:br/>
              <w:t>5,6 примечаний):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0 или отсутствуют сведения;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первый  (Евро 1)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второй (Евро 2)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третий (Евро 3)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 xml:space="preserve">четвертый (Евро 4) 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пятый (Евро 5)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шестой (Евро 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0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1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2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3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4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5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32CF4" w:rsidRPr="008C41E1" w:rsidTr="0015525A">
        <w:trPr>
          <w:trHeight w:val="1629"/>
        </w:trPr>
        <w:tc>
          <w:tcPr>
            <w:tcW w:w="426" w:type="dxa"/>
            <w:tcBorders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Категория транспортной безопасности транспортного средства (за каждое транспортное средство в соответствии с заявкой по лоту) (пункт 6 примечаний):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сведения о присвоении категории отсутствуют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категория присвоена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0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32CF4" w:rsidRPr="008C41E1" w:rsidTr="0015525A">
        <w:tc>
          <w:tcPr>
            <w:tcW w:w="426" w:type="dxa"/>
            <w:tcBorders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Категория транспортной безопасности объекта транспортной инфраструктуры (собственной или арендованной), где происходит хранение транспортного средства (пункт 6 примечаний):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сведения отсутствуют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категория присвоена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0</w:t>
            </w:r>
          </w:p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»;</w:t>
            </w:r>
          </w:p>
        </w:tc>
      </w:tr>
    </w:tbl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3) строки 1, 2 пункта 26 изложить в следующей редакции: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1014"/>
        <w:gridCol w:w="6924"/>
        <w:gridCol w:w="850"/>
        <w:gridCol w:w="567"/>
      </w:tblGrid>
      <w:tr w:rsidR="00832CF4" w:rsidRPr="008C41E1" w:rsidTr="0015525A">
        <w:tc>
          <w:tcPr>
            <w:tcW w:w="426" w:type="dxa"/>
            <w:tcBorders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lastRenderedPageBreak/>
              <w:t>«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Наличие производственной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32CF4" w:rsidRPr="008C41E1" w:rsidTr="0015525A">
        <w:tc>
          <w:tcPr>
            <w:tcW w:w="426" w:type="dxa"/>
            <w:tcBorders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Наличие охраняемой стоянки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2CF4" w:rsidRPr="008C41E1" w:rsidRDefault="00832CF4" w:rsidP="0015525A">
            <w:pPr>
              <w:jc w:val="both"/>
              <w:rPr>
                <w:bCs/>
                <w:sz w:val="28"/>
                <w:szCs w:val="28"/>
              </w:rPr>
            </w:pPr>
            <w:r w:rsidRPr="008C41E1">
              <w:rPr>
                <w:bCs/>
                <w:sz w:val="28"/>
                <w:szCs w:val="28"/>
              </w:rPr>
              <w:t>»;</w:t>
            </w:r>
          </w:p>
        </w:tc>
      </w:tr>
    </w:tbl>
    <w:p w:rsidR="00832CF4" w:rsidRDefault="00832CF4" w:rsidP="00832CF4">
      <w:pPr>
        <w:jc w:val="both"/>
        <w:rPr>
          <w:sz w:val="28"/>
          <w:szCs w:val="28"/>
        </w:rPr>
      </w:pP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4) примечания в пункте 26 дополнить пунктами 6 и 7 следующего содержания: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«6. Формула определения количества баллов.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КБ = (С</w:t>
      </w:r>
      <w:proofErr w:type="gramStart"/>
      <w:r w:rsidRPr="008C41E1">
        <w:rPr>
          <w:sz w:val="28"/>
          <w:szCs w:val="28"/>
        </w:rPr>
        <w:t>1</w:t>
      </w:r>
      <w:proofErr w:type="gramEnd"/>
      <w:r w:rsidRPr="008C41E1">
        <w:rPr>
          <w:sz w:val="28"/>
          <w:szCs w:val="28"/>
        </w:rPr>
        <w:t xml:space="preserve"> + С2 ... + </w:t>
      </w:r>
      <w:proofErr w:type="spellStart"/>
      <w:r w:rsidRPr="008C41E1">
        <w:rPr>
          <w:sz w:val="28"/>
          <w:szCs w:val="28"/>
        </w:rPr>
        <w:t>С</w:t>
      </w:r>
      <w:proofErr w:type="gramStart"/>
      <w:r w:rsidRPr="008C41E1">
        <w:rPr>
          <w:sz w:val="28"/>
          <w:szCs w:val="28"/>
        </w:rPr>
        <w:t>x</w:t>
      </w:r>
      <w:proofErr w:type="spellEnd"/>
      <w:proofErr w:type="gramEnd"/>
      <w:r w:rsidRPr="008C41E1">
        <w:rPr>
          <w:sz w:val="28"/>
          <w:szCs w:val="28"/>
        </w:rPr>
        <w:t>) / КТС, где: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С</w:t>
      </w:r>
      <w:proofErr w:type="gramStart"/>
      <w:r w:rsidRPr="008C41E1">
        <w:rPr>
          <w:sz w:val="28"/>
          <w:szCs w:val="28"/>
        </w:rPr>
        <w:t>1</w:t>
      </w:r>
      <w:proofErr w:type="gramEnd"/>
      <w:r w:rsidRPr="008C41E1">
        <w:rPr>
          <w:sz w:val="28"/>
          <w:szCs w:val="28"/>
        </w:rPr>
        <w:t xml:space="preserve">, С2, </w:t>
      </w:r>
      <w:proofErr w:type="spellStart"/>
      <w:r w:rsidRPr="008C41E1">
        <w:rPr>
          <w:sz w:val="28"/>
          <w:szCs w:val="28"/>
        </w:rPr>
        <w:t>Сx</w:t>
      </w:r>
      <w:proofErr w:type="spellEnd"/>
      <w:r w:rsidRPr="008C41E1">
        <w:rPr>
          <w:sz w:val="28"/>
          <w:szCs w:val="28"/>
        </w:rPr>
        <w:t xml:space="preserve"> – балльный показатель соответствия транспортных средств классу </w:t>
      </w:r>
      <w:proofErr w:type="spellStart"/>
      <w:r w:rsidRPr="008C41E1">
        <w:rPr>
          <w:sz w:val="28"/>
          <w:szCs w:val="28"/>
        </w:rPr>
        <w:t>экологичности</w:t>
      </w:r>
      <w:proofErr w:type="spellEnd"/>
      <w:r w:rsidRPr="008C41E1">
        <w:rPr>
          <w:sz w:val="28"/>
          <w:szCs w:val="28"/>
        </w:rPr>
        <w:t>;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КТС - количество транспортных сре</w:t>
      </w:r>
      <w:proofErr w:type="gramStart"/>
      <w:r w:rsidRPr="008C41E1">
        <w:rPr>
          <w:sz w:val="28"/>
          <w:szCs w:val="28"/>
        </w:rPr>
        <w:t>дств пр</w:t>
      </w:r>
      <w:proofErr w:type="gramEnd"/>
      <w:r w:rsidRPr="008C41E1">
        <w:rPr>
          <w:sz w:val="28"/>
          <w:szCs w:val="28"/>
        </w:rPr>
        <w:t>етендента (заявленных с учетом резерва).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7. При расчете учитываются резервные транспортные средства в количестве, не превышающем 100 процентов  количества основных транспортных средств</w:t>
      </w:r>
      <w:proofErr w:type="gramStart"/>
      <w:r w:rsidRPr="008C41E1">
        <w:rPr>
          <w:sz w:val="28"/>
          <w:szCs w:val="28"/>
        </w:rPr>
        <w:t>.».</w:t>
      </w:r>
      <w:proofErr w:type="gramEnd"/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2. </w:t>
      </w:r>
      <w:proofErr w:type="gramStart"/>
      <w:r w:rsidRPr="008C41E1">
        <w:rPr>
          <w:sz w:val="28"/>
          <w:szCs w:val="28"/>
        </w:rPr>
        <w:t>Контроль за</w:t>
      </w:r>
      <w:proofErr w:type="gramEnd"/>
      <w:r w:rsidRPr="008C41E1">
        <w:rPr>
          <w:sz w:val="28"/>
          <w:szCs w:val="28"/>
        </w:rPr>
        <w:t xml:space="preserve"> выполнением настоящего постановления возложить на  Заместителя Председателя Правительства Свердловской области</w:t>
      </w:r>
      <w:r w:rsidRPr="008C41E1">
        <w:rPr>
          <w:sz w:val="28"/>
          <w:szCs w:val="28"/>
        </w:rPr>
        <w:br/>
        <w:t>С.М. Зырянова.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 xml:space="preserve">4. Настоящее постановление опубликовать в «Областной газете». 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</w:p>
    <w:p w:rsidR="00832CF4" w:rsidRPr="008C41E1" w:rsidRDefault="00832CF4" w:rsidP="00832CF4">
      <w:pPr>
        <w:jc w:val="both"/>
        <w:rPr>
          <w:sz w:val="28"/>
          <w:szCs w:val="28"/>
        </w:rPr>
      </w:pPr>
    </w:p>
    <w:p w:rsidR="00832CF4" w:rsidRPr="008C41E1" w:rsidRDefault="00832CF4" w:rsidP="00832CF4">
      <w:pPr>
        <w:jc w:val="both"/>
        <w:rPr>
          <w:sz w:val="28"/>
          <w:szCs w:val="28"/>
        </w:rPr>
      </w:pPr>
    </w:p>
    <w:p w:rsidR="00832CF4" w:rsidRPr="008C41E1" w:rsidRDefault="00832CF4" w:rsidP="00832CF4">
      <w:pPr>
        <w:jc w:val="both"/>
        <w:rPr>
          <w:sz w:val="28"/>
          <w:szCs w:val="28"/>
        </w:rPr>
      </w:pP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Председатель Правительства</w:t>
      </w:r>
    </w:p>
    <w:p w:rsidR="00832CF4" w:rsidRPr="008C41E1" w:rsidRDefault="00832CF4" w:rsidP="00832CF4">
      <w:pPr>
        <w:jc w:val="both"/>
        <w:rPr>
          <w:sz w:val="28"/>
          <w:szCs w:val="28"/>
        </w:rPr>
      </w:pPr>
      <w:r w:rsidRPr="008C41E1">
        <w:rPr>
          <w:sz w:val="28"/>
          <w:szCs w:val="28"/>
        </w:rPr>
        <w:t>Свердловской области</w:t>
      </w:r>
      <w:r w:rsidRPr="008C41E1">
        <w:rPr>
          <w:sz w:val="28"/>
          <w:szCs w:val="28"/>
        </w:rPr>
        <w:tab/>
      </w:r>
      <w:r w:rsidRPr="008C41E1">
        <w:rPr>
          <w:sz w:val="28"/>
          <w:szCs w:val="28"/>
        </w:rPr>
        <w:tab/>
      </w:r>
      <w:r w:rsidRPr="008C41E1">
        <w:rPr>
          <w:sz w:val="28"/>
          <w:szCs w:val="28"/>
        </w:rPr>
        <w:tab/>
      </w:r>
      <w:r w:rsidRPr="008C41E1">
        <w:rPr>
          <w:sz w:val="28"/>
          <w:szCs w:val="28"/>
        </w:rPr>
        <w:tab/>
      </w:r>
      <w:r w:rsidRPr="008C41E1">
        <w:rPr>
          <w:sz w:val="28"/>
          <w:szCs w:val="28"/>
        </w:rPr>
        <w:tab/>
      </w:r>
      <w:r w:rsidRPr="008C41E1">
        <w:rPr>
          <w:sz w:val="28"/>
          <w:szCs w:val="28"/>
        </w:rPr>
        <w:tab/>
      </w:r>
      <w:r w:rsidRPr="008C41E1">
        <w:rPr>
          <w:sz w:val="28"/>
          <w:szCs w:val="28"/>
        </w:rPr>
        <w:tab/>
      </w:r>
      <w:r w:rsidRPr="008C41E1">
        <w:rPr>
          <w:sz w:val="28"/>
          <w:szCs w:val="28"/>
        </w:rPr>
        <w:tab/>
        <w:t xml:space="preserve">         Д.В. </w:t>
      </w:r>
      <w:proofErr w:type="spellStart"/>
      <w:r w:rsidRPr="008C41E1">
        <w:rPr>
          <w:sz w:val="28"/>
          <w:szCs w:val="28"/>
        </w:rPr>
        <w:t>Паслер</w:t>
      </w:r>
      <w:proofErr w:type="spellEnd"/>
    </w:p>
    <w:p w:rsidR="00832CF4" w:rsidRDefault="00832CF4" w:rsidP="00832CF4">
      <w:pPr>
        <w:jc w:val="both"/>
        <w:rPr>
          <w:sz w:val="28"/>
          <w:szCs w:val="28"/>
        </w:rPr>
      </w:pPr>
    </w:p>
    <w:p w:rsidR="007B6651" w:rsidRDefault="00832CF4"/>
    <w:sectPr w:rsidR="007B6651" w:rsidSect="0070450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6C6"/>
    <w:multiLevelType w:val="hybridMultilevel"/>
    <w:tmpl w:val="C86C5C3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5526DBC"/>
    <w:multiLevelType w:val="hybridMultilevel"/>
    <w:tmpl w:val="3B56B3B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63248C6"/>
    <w:multiLevelType w:val="hybridMultilevel"/>
    <w:tmpl w:val="9FA4F76C"/>
    <w:lvl w:ilvl="0" w:tplc="A05ED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F4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980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ACE"/>
    <w:rsid w:val="00294461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2CF4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C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F0BBF60BE4DA02E7C49F52C97EF87E22C322F4DA2E5A5F6B36F90Ci6tAI" TargetMode="External"/><Relationship Id="rId5" Type="http://schemas.openxmlformats.org/officeDocument/2006/relationships/hyperlink" Target="consultantplus://offline/ref=57F0BBF60BE4DA02E7C49F52C97EF87E25C82FFDDD210755636FF50E6DiCt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1944</Words>
  <Characters>11083</Characters>
  <Application>Microsoft Office Word</Application>
  <DocSecurity>0</DocSecurity>
  <Lines>92</Lines>
  <Paragraphs>26</Paragraphs>
  <ScaleCrop>false</ScaleCrop>
  <Company>МинИнвест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2</cp:revision>
  <dcterms:created xsi:type="dcterms:W3CDTF">2013-10-08T12:11:00Z</dcterms:created>
  <dcterms:modified xsi:type="dcterms:W3CDTF">2013-10-08T12:13:00Z</dcterms:modified>
</cp:coreProperties>
</file>